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2694E" w14:textId="2F69284F" w:rsidR="006D3A53" w:rsidRPr="00B56577" w:rsidRDefault="006D3A53" w:rsidP="006D3A53">
      <w:pPr>
        <w:pStyle w:val="Heading1"/>
        <w:numPr>
          <w:ilvl w:val="0"/>
          <w:numId w:val="0"/>
        </w:numPr>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5327"/>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5DE4173B" w:rsidR="00156F7C" w:rsidRPr="00B56577" w:rsidRDefault="00E760E5" w:rsidP="009E63EB">
            <w:pPr>
              <w:pStyle w:val="BodyTextBold"/>
              <w:rPr>
                <w:rFonts w:ascii="Lato" w:hAnsi="Lato"/>
                <w:b w:val="0"/>
              </w:rPr>
            </w:pPr>
            <w:r>
              <w:rPr>
                <w:rFonts w:ascii="Lato" w:hAnsi="Lato"/>
                <w:b w:val="0"/>
              </w:rPr>
              <w:t>DCC</w:t>
            </w:r>
            <w:r w:rsidR="000D5C57">
              <w:rPr>
                <w:rFonts w:ascii="Lato" w:hAnsi="Lato"/>
                <w:b w:val="0"/>
              </w:rPr>
              <w:t xml:space="preserve"> consultation on the SEC </w:t>
            </w:r>
            <w:r w:rsidR="00F77892">
              <w:rPr>
                <w:rFonts w:ascii="Lato" w:hAnsi="Lato"/>
                <w:b w:val="0"/>
              </w:rPr>
              <w:t>Charging Methodology</w:t>
            </w:r>
            <w:r w:rsidR="00FF59EF" w:rsidRPr="00B56577">
              <w:rPr>
                <w:rFonts w:ascii="Lato" w:hAnsi="Lato"/>
                <w:b w:val="0"/>
              </w:rPr>
              <w:t xml:space="preserve"> </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51159490" w:rsidR="00E218D7" w:rsidRPr="00B56577" w:rsidRDefault="00CC4CD9" w:rsidP="009E63EB">
            <w:pPr>
              <w:pStyle w:val="BodyTextBold"/>
              <w:rPr>
                <w:rFonts w:ascii="Lato" w:hAnsi="Lato"/>
                <w:b w:val="0"/>
              </w:rPr>
            </w:pPr>
            <w:r>
              <w:rPr>
                <w:rFonts w:ascii="Lato" w:hAnsi="Lato"/>
                <w:b w:val="0"/>
              </w:rPr>
              <w:t>3 February 2025</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86498F" w:rsidP="0086498F">
            <w:pPr>
              <w:pStyle w:val="BodyTextBold"/>
              <w:rPr>
                <w:rFonts w:ascii="Lato" w:hAnsi="Lato"/>
                <w:b w:val="0"/>
              </w:rPr>
            </w:pPr>
            <w:hyperlink r:id="rId12" w:history="1">
              <w:r w:rsidRPr="00B56577">
                <w:rPr>
                  <w:rStyle w:val="Hyperlink"/>
                  <w:rFonts w:ascii="Lato" w:hAnsi="Lato"/>
                </w:rPr>
                <w:t>consultations@smartdcc.co.uk</w:t>
              </w:r>
            </w:hyperlink>
            <w:hyperlink r:id="rId13"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18BD7E87" w:rsidR="00F3668C" w:rsidRPr="00B56577" w:rsidRDefault="00AB2C04" w:rsidP="009E63EB">
            <w:pPr>
              <w:pStyle w:val="BodyTextBold"/>
              <w:rPr>
                <w:rFonts w:ascii="Lato" w:hAnsi="Lato"/>
                <w:b w:val="0"/>
              </w:rPr>
            </w:pPr>
            <w:r>
              <w:rPr>
                <w:rFonts w:ascii="Lato" w:hAnsi="Lato"/>
                <w:b w:val="0"/>
              </w:rPr>
              <w:t>DESNZ</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6D596C46" w:rsidR="0052508C" w:rsidRPr="00B56577" w:rsidRDefault="00F2706B" w:rsidP="009E63EB">
            <w:pPr>
              <w:pStyle w:val="BodyTextBold"/>
              <w:rPr>
                <w:rFonts w:ascii="Lato" w:hAnsi="Lato"/>
                <w:b w:val="0"/>
              </w:rPr>
            </w:pPr>
            <w:r w:rsidRPr="00B56577">
              <w:rPr>
                <w:rFonts w:ascii="Lato" w:hAnsi="Lato"/>
                <w:b w:val="0"/>
              </w:rPr>
              <w:t xml:space="preserve"> </w:t>
            </w:r>
            <w:r w:rsidR="007A698C">
              <w:rPr>
                <w:rFonts w:ascii="Lato" w:hAnsi="Lato"/>
                <w:b w:val="0"/>
              </w:rPr>
              <w:t>Jim Cosgrove</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5DC0BFC4" w:rsidR="0052508C" w:rsidRPr="00B56577" w:rsidRDefault="00B333DF" w:rsidP="009E63EB">
            <w:pPr>
              <w:pStyle w:val="BodyTextBold"/>
              <w:rPr>
                <w:rFonts w:ascii="Lato" w:hAnsi="Lato"/>
                <w:b w:val="0"/>
              </w:rPr>
            </w:pPr>
            <w:r w:rsidRPr="00B333DF">
              <w:rPr>
                <w:rFonts w:ascii="Lato" w:hAnsi="Lato"/>
                <w:b w:val="0"/>
              </w:rPr>
              <w:t>james.cosgrove@energysecurity.gov.uk</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61B0FE2A" w:rsidR="0052508C" w:rsidRPr="00B56577" w:rsidRDefault="00744E8F" w:rsidP="009E63EB">
            <w:pPr>
              <w:pStyle w:val="BodyTextBold"/>
              <w:rPr>
                <w:rFonts w:ascii="Lato" w:hAnsi="Lato"/>
                <w:b w:val="0"/>
              </w:rPr>
            </w:pPr>
            <w:r>
              <w:rPr>
                <w:rFonts w:ascii="Lato" w:hAnsi="Lato"/>
                <w:b w:val="0"/>
              </w:rPr>
              <w:t>Please contact via e-mail or Teams</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FE88DB2" w:rsidR="004064E0" w:rsidRPr="00B56577" w:rsidRDefault="00DC52C9" w:rsidP="00DC52C9">
      <w:pPr>
        <w:pStyle w:val="Heading1"/>
        <w:numPr>
          <w:ilvl w:val="0"/>
          <w:numId w:val="0"/>
        </w:numPr>
        <w:ind w:left="848" w:hanging="848"/>
        <w:rPr>
          <w:rFonts w:ascii="Lato" w:hAnsi="Lato"/>
        </w:rPr>
      </w:pPr>
      <w:r w:rsidRPr="00B56577">
        <w:rPr>
          <w:rFonts w:ascii="Lato" w:hAnsi="Lato"/>
        </w:rPr>
        <w:lastRenderedPageBreak/>
        <w:t>R</w:t>
      </w:r>
      <w:r w:rsidR="004064E0" w:rsidRPr="00B56577">
        <w:rPr>
          <w:rFonts w:ascii="Lato" w:hAnsi="Lato"/>
        </w:rPr>
        <w:t>esponses to the consultation questions</w:t>
      </w:r>
      <w:r w:rsidR="00DE289C" w:rsidRPr="00B56577">
        <w:rPr>
          <w:rFonts w:ascii="Lato" w:hAnsi="Lato"/>
        </w:rPr>
        <w:t xml:space="preserve"> </w:t>
      </w:r>
      <w:bookmarkEnd w:id="0"/>
    </w:p>
    <w:tbl>
      <w:tblPr>
        <w:tblStyle w:val="TableTemplate1"/>
        <w:tblW w:w="0" w:type="auto"/>
        <w:tblLook w:val="04A0" w:firstRow="1" w:lastRow="0" w:firstColumn="1" w:lastColumn="0" w:noHBand="0" w:noVBand="1"/>
      </w:tblPr>
      <w:tblGrid>
        <w:gridCol w:w="1019"/>
        <w:gridCol w:w="6401"/>
        <w:gridCol w:w="6518"/>
      </w:tblGrid>
      <w:tr w:rsidR="005E2A23" w:rsidRPr="00B56577" w14:paraId="3E2A3BAD" w14:textId="77777777" w:rsidTr="00133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7A439306" w:rsidR="00674D62" w:rsidRPr="00B56577" w:rsidRDefault="004B2C0E" w:rsidP="00FE755A">
            <w:pPr>
              <w:pStyle w:val="TableText-Left"/>
              <w:spacing w:line="276" w:lineRule="auto"/>
              <w:jc w:val="center"/>
              <w:rPr>
                <w:rFonts w:ascii="Lato" w:hAnsi="Lato"/>
              </w:rPr>
            </w:pPr>
            <w:r w:rsidRPr="00B56577">
              <w:rPr>
                <w:rFonts w:ascii="Lato" w:hAnsi="Lato"/>
              </w:rPr>
              <w:t>Numb</w:t>
            </w:r>
            <w:r w:rsidR="00133633">
              <w:rPr>
                <w:rFonts w:ascii="Lato" w:hAnsi="Lato"/>
              </w:rPr>
              <w:t>er</w:t>
            </w:r>
          </w:p>
        </w:tc>
        <w:tc>
          <w:tcPr>
            <w:tcW w:w="0" w:type="auto"/>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0" w:type="auto"/>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5E2A23" w:rsidRPr="00B56577" w14:paraId="72511565" w14:textId="77777777" w:rsidTr="00133633">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0" w:type="auto"/>
            <w:vAlign w:val="center"/>
          </w:tcPr>
          <w:p w14:paraId="2E8CAFFB" w14:textId="6BC53BE7"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updating the weighting factors used to apply charges for core Users (Energy Suppliers and Electricity Network Operators)? Please provide your rationale.</w:t>
            </w:r>
          </w:p>
        </w:tc>
        <w:tc>
          <w:tcPr>
            <w:tcW w:w="0" w:type="auto"/>
            <w:vAlign w:val="center"/>
          </w:tcPr>
          <w:p w14:paraId="6647FA10" w14:textId="24560B56" w:rsidR="00312F3A" w:rsidRPr="00B56577" w:rsidRDefault="00744E8F"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are only responding in relation to the proposal relating to Other Users</w:t>
            </w:r>
          </w:p>
        </w:tc>
      </w:tr>
      <w:tr w:rsidR="005E2A23" w:rsidRPr="00B56577" w14:paraId="1746CC52" w14:textId="2BBE4DE6"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t>Q2</w:t>
            </w:r>
          </w:p>
        </w:tc>
        <w:tc>
          <w:tcPr>
            <w:tcW w:w="0" w:type="auto"/>
            <w:vAlign w:val="center"/>
          </w:tcPr>
          <w:p w14:paraId="4A576EE9" w14:textId="18FD3E0B"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Would re-weighting Fixed Charges impact how Energy Suppliers and Electricity Network Operators use the DCC network? If so, do you have any suggestions on how else DCC could continue to support efficient use of the DCC network? Please provide your rationale and include evidence to support this where possible.</w:t>
            </w:r>
          </w:p>
        </w:tc>
        <w:tc>
          <w:tcPr>
            <w:tcW w:w="0" w:type="auto"/>
            <w:vAlign w:val="center"/>
          </w:tcPr>
          <w:p w14:paraId="3EBF2CF3" w14:textId="36CE4D2E" w:rsidR="00312F3A" w:rsidRPr="00B56577" w:rsidRDefault="00744E8F"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As above</w:t>
            </w:r>
          </w:p>
        </w:tc>
      </w:tr>
      <w:tr w:rsidR="005E2A23" w:rsidRPr="00B56577" w14:paraId="4DEEDB5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327886" w14:textId="18983FDB"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Q3</w:t>
            </w:r>
          </w:p>
        </w:tc>
        <w:tc>
          <w:tcPr>
            <w:tcW w:w="0" w:type="auto"/>
            <w:vAlign w:val="center"/>
          </w:tcPr>
          <w:p w14:paraId="13464F00" w14:textId="35D852D8"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distributional impact for end consumers of re-weighting Fixed Charges? Please provide reasons for your response and include evidence to support this where possible.</w:t>
            </w:r>
          </w:p>
        </w:tc>
        <w:tc>
          <w:tcPr>
            <w:tcW w:w="0" w:type="auto"/>
            <w:vAlign w:val="center"/>
          </w:tcPr>
          <w:p w14:paraId="0B516DD2" w14:textId="57DA1855" w:rsidR="00CC4CD9" w:rsidRPr="00B56577" w:rsidRDefault="00744E8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As above</w:t>
            </w:r>
          </w:p>
        </w:tc>
      </w:tr>
      <w:tr w:rsidR="005E2A23" w:rsidRPr="00B56577" w14:paraId="56212A37"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2B52E0" w14:textId="770B08C7"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Q4</w:t>
            </w:r>
          </w:p>
        </w:tc>
        <w:tc>
          <w:tcPr>
            <w:tcW w:w="0" w:type="auto"/>
            <w:vAlign w:val="center"/>
          </w:tcPr>
          <w:p w14:paraId="40173BF5" w14:textId="19E49F57"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introducing charges for Other Users? Please provide your rationale.</w:t>
            </w:r>
          </w:p>
        </w:tc>
        <w:tc>
          <w:tcPr>
            <w:tcW w:w="0" w:type="auto"/>
            <w:vAlign w:val="center"/>
          </w:tcPr>
          <w:p w14:paraId="66CE09E8" w14:textId="77777777" w:rsidR="00CC2065" w:rsidRDefault="00744E8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No. </w:t>
            </w:r>
          </w:p>
          <w:p w14:paraId="329BE6D8" w14:textId="519799F3" w:rsidR="00CC4CD9" w:rsidRDefault="00CC206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do not believe that the proposals in relation to Other Users are appropriate</w:t>
            </w:r>
            <w:r w:rsidR="00354857">
              <w:rPr>
                <w:rFonts w:ascii="Lato" w:hAnsi="Lato"/>
              </w:rPr>
              <w:t xml:space="preserve"> or likely to deliver a beneficial outcome for the consumer</w:t>
            </w:r>
            <w:r>
              <w:rPr>
                <w:rFonts w:ascii="Lato" w:hAnsi="Lato"/>
              </w:rPr>
              <w:t xml:space="preserve">. We think that levying a transaction charge on OUs and </w:t>
            </w:r>
            <w:proofErr w:type="spellStart"/>
            <w:r>
              <w:rPr>
                <w:rFonts w:ascii="Lato" w:hAnsi="Lato"/>
              </w:rPr>
              <w:t>not</w:t>
            </w:r>
            <w:proofErr w:type="spellEnd"/>
            <w:r>
              <w:rPr>
                <w:rFonts w:ascii="Lato" w:hAnsi="Lato"/>
              </w:rPr>
              <w:t xml:space="preserve"> other SEC Parties, such as energy suppliers</w:t>
            </w:r>
            <w:r w:rsidR="00AE3DB0">
              <w:rPr>
                <w:rFonts w:ascii="Lato" w:hAnsi="Lato"/>
              </w:rPr>
              <w:t>,</w:t>
            </w:r>
            <w:r>
              <w:rPr>
                <w:rFonts w:ascii="Lato" w:hAnsi="Lato"/>
              </w:rPr>
              <w:t xml:space="preserve"> will mean that </w:t>
            </w:r>
            <w:r w:rsidR="005E2A23">
              <w:rPr>
                <w:rFonts w:ascii="Lato" w:hAnsi="Lato"/>
              </w:rPr>
              <w:t xml:space="preserve">Other Users are competitively disadvantaged when serving consumers. For example if an OU is competing with an energy supplier to give energy efficiency advice and needs to use one or more Service Requests to support the advice it gives the consumer, it would </w:t>
            </w:r>
            <w:r w:rsidR="00DB0CE6">
              <w:rPr>
                <w:rFonts w:ascii="Lato" w:hAnsi="Lato"/>
              </w:rPr>
              <w:t xml:space="preserve">face incremental charges for giving that advice that would not be faced by the supplier. </w:t>
            </w:r>
          </w:p>
          <w:p w14:paraId="1D81F39A" w14:textId="77777777" w:rsidR="001F48BD" w:rsidRDefault="001F48BD"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6E469860" w14:textId="39DA104C" w:rsidR="009312D1" w:rsidRDefault="001F48BD" w:rsidP="00B744B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therefore think that the proposal is </w:t>
            </w:r>
            <w:r w:rsidR="00B744B9">
              <w:rPr>
                <w:rFonts w:ascii="Lato" w:hAnsi="Lato"/>
              </w:rPr>
              <w:t>in</w:t>
            </w:r>
            <w:r>
              <w:rPr>
                <w:rFonts w:ascii="Lato" w:hAnsi="Lato"/>
              </w:rPr>
              <w:t xml:space="preserve">consistent with the </w:t>
            </w:r>
            <w:r w:rsidR="00794FB5">
              <w:rPr>
                <w:rFonts w:ascii="Lato" w:hAnsi="Lato"/>
              </w:rPr>
              <w:t>P</w:t>
            </w:r>
            <w:r>
              <w:rPr>
                <w:rFonts w:ascii="Lato" w:hAnsi="Lato"/>
              </w:rPr>
              <w:t xml:space="preserve">olicy </w:t>
            </w:r>
            <w:r w:rsidR="00794FB5">
              <w:rPr>
                <w:rFonts w:ascii="Lato" w:hAnsi="Lato"/>
              </w:rPr>
              <w:t xml:space="preserve">Objective that </w:t>
            </w:r>
            <w:r w:rsidR="009312D1">
              <w:rPr>
                <w:rFonts w:ascii="Lato" w:hAnsi="Lato"/>
              </w:rPr>
              <w:t xml:space="preserve">states that the </w:t>
            </w:r>
            <w:r w:rsidR="009312D1" w:rsidRPr="009312D1">
              <w:rPr>
                <w:rFonts w:ascii="Lato" w:hAnsi="Lato"/>
              </w:rPr>
              <w:t>Charging Methodology must result in Charges that</w:t>
            </w:r>
            <w:r w:rsidR="009312D1">
              <w:rPr>
                <w:rFonts w:ascii="Lato" w:hAnsi="Lato"/>
                <w:b/>
              </w:rPr>
              <w:t xml:space="preserve"> </w:t>
            </w:r>
            <w:r w:rsidR="009312D1" w:rsidRPr="009312D1">
              <w:rPr>
                <w:rFonts w:ascii="Lato" w:hAnsi="Lato"/>
              </w:rPr>
              <w:t xml:space="preserve">do not restrict, distort, or prevent competition in Commercial Activities that </w:t>
            </w:r>
            <w:r w:rsidR="0068108E" w:rsidRPr="009312D1">
              <w:rPr>
                <w:rFonts w:ascii="Lato" w:hAnsi="Lato"/>
              </w:rPr>
              <w:t>relate to</w:t>
            </w:r>
            <w:r w:rsidR="009312D1" w:rsidRPr="009312D1">
              <w:rPr>
                <w:rFonts w:ascii="Lato" w:hAnsi="Lato"/>
              </w:rPr>
              <w:t xml:space="preserve"> the</w:t>
            </w:r>
            <w:r w:rsidR="00B744B9">
              <w:rPr>
                <w:rFonts w:ascii="Lato" w:hAnsi="Lato"/>
              </w:rPr>
              <w:t xml:space="preserve"> </w:t>
            </w:r>
            <w:r w:rsidR="009312D1" w:rsidRPr="009312D1">
              <w:rPr>
                <w:rFonts w:ascii="Lato" w:hAnsi="Lato"/>
              </w:rPr>
              <w:t>Supply of Energy under the Electricity Act and the Gas Act</w:t>
            </w:r>
            <w:r w:rsidR="00B744B9">
              <w:rPr>
                <w:rFonts w:ascii="Lato" w:hAnsi="Lato"/>
              </w:rPr>
              <w:t>.</w:t>
            </w:r>
          </w:p>
          <w:p w14:paraId="1C7A6CB5" w14:textId="77777777" w:rsidR="00B744B9" w:rsidRDefault="00B744B9" w:rsidP="00B744B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52D413C1" w14:textId="7DB00EDF" w:rsidR="00D7416D" w:rsidRDefault="00B744B9" w:rsidP="00B744B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also do not believe that the proposal put forward is cost reflective, since if </w:t>
            </w:r>
            <w:r w:rsidR="00FD5A88">
              <w:rPr>
                <w:rFonts w:ascii="Lato" w:hAnsi="Lato"/>
              </w:rPr>
              <w:t xml:space="preserve">transaction charges are cost reflective it is unclear to us why </w:t>
            </w:r>
            <w:r w:rsidR="00236032">
              <w:rPr>
                <w:rFonts w:ascii="Lato" w:hAnsi="Lato"/>
              </w:rPr>
              <w:t xml:space="preserve">it is not being proposed that </w:t>
            </w:r>
            <w:r w:rsidR="001961B3">
              <w:rPr>
                <w:rFonts w:ascii="Lato" w:hAnsi="Lato"/>
              </w:rPr>
              <w:t xml:space="preserve">all </w:t>
            </w:r>
            <w:r w:rsidR="00FD5A88">
              <w:rPr>
                <w:rFonts w:ascii="Lato" w:hAnsi="Lato"/>
              </w:rPr>
              <w:t xml:space="preserve">types of </w:t>
            </w:r>
            <w:r w:rsidR="0068108E">
              <w:rPr>
                <w:rFonts w:ascii="Lato" w:hAnsi="Lato"/>
              </w:rPr>
              <w:t>users</w:t>
            </w:r>
            <w:r w:rsidR="00FD5A88">
              <w:rPr>
                <w:rFonts w:ascii="Lato" w:hAnsi="Lato"/>
              </w:rPr>
              <w:t xml:space="preserve"> </w:t>
            </w:r>
            <w:r w:rsidR="001961B3">
              <w:rPr>
                <w:rFonts w:ascii="Lato" w:hAnsi="Lato"/>
              </w:rPr>
              <w:t xml:space="preserve">should pay these </w:t>
            </w:r>
            <w:r w:rsidR="00FD5A88">
              <w:rPr>
                <w:rFonts w:ascii="Lato" w:hAnsi="Lato"/>
              </w:rPr>
              <w:t xml:space="preserve">charges. </w:t>
            </w:r>
          </w:p>
          <w:p w14:paraId="77397AE0" w14:textId="53325FD6" w:rsidR="00D7416D" w:rsidRDefault="00D7416D" w:rsidP="00B744B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56640503" w14:textId="197A9248" w:rsidR="00D7416D" w:rsidRPr="00B56577" w:rsidRDefault="00D7416D" w:rsidP="00B744B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5E2A23" w:rsidRPr="00B56577" w14:paraId="0B0C51BA"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7F8590" w14:textId="693D6DF3"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Q5</w:t>
            </w:r>
          </w:p>
        </w:tc>
        <w:tc>
          <w:tcPr>
            <w:tcW w:w="0" w:type="auto"/>
            <w:vAlign w:val="center"/>
          </w:tcPr>
          <w:p w14:paraId="2B339066" w14:textId="01E30C13"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using a Short Run Incremental Cost (SRIC) approach is the most appropriate, at this stage, for calculating a unit rate to charge Other Users? Please provide your rationale.</w:t>
            </w:r>
          </w:p>
        </w:tc>
        <w:tc>
          <w:tcPr>
            <w:tcW w:w="0" w:type="auto"/>
            <w:vAlign w:val="center"/>
          </w:tcPr>
          <w:p w14:paraId="4218E0F6" w14:textId="054D4016" w:rsidR="007F53E7" w:rsidRPr="007F53E7" w:rsidRDefault="00D7416D" w:rsidP="007F53E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think it is important that any transaction charges genuinely reflect the costs of the transaction, since otherwise the usage of the system will be artificially distorted. We note that the DCC consultation states that</w:t>
            </w:r>
            <w:r w:rsidR="007F53E7">
              <w:rPr>
                <w:rFonts w:ascii="Lato" w:hAnsi="Lato"/>
              </w:rPr>
              <w:t xml:space="preserve"> </w:t>
            </w:r>
            <w:r w:rsidR="007F53E7" w:rsidRPr="007F53E7">
              <w:rPr>
                <w:rFonts w:ascii="Lato" w:hAnsi="Lato"/>
              </w:rPr>
              <w:t>identifying a precise marginal cost is challenging due to the complex and varied nature of DCC’s contracts with Service Providers</w:t>
            </w:r>
            <w:r w:rsidR="007F53E7">
              <w:rPr>
                <w:rFonts w:ascii="Lato" w:hAnsi="Lato"/>
              </w:rPr>
              <w:t>.</w:t>
            </w:r>
          </w:p>
          <w:p w14:paraId="74375D89" w14:textId="66377AFE" w:rsidR="00CC4CD9" w:rsidRPr="00B56577"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5E2A23" w:rsidRPr="00B56577" w14:paraId="320DA4F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A53F1" w14:textId="1EE15E9A"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Q6</w:t>
            </w:r>
          </w:p>
        </w:tc>
        <w:tc>
          <w:tcPr>
            <w:tcW w:w="0" w:type="auto"/>
            <w:vAlign w:val="center"/>
          </w:tcPr>
          <w:p w14:paraId="358322D0" w14:textId="110F23D0"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differentiated based on scheduled and on demand messages? Please provide your rationale.</w:t>
            </w:r>
          </w:p>
        </w:tc>
        <w:tc>
          <w:tcPr>
            <w:tcW w:w="0" w:type="auto"/>
            <w:vAlign w:val="center"/>
          </w:tcPr>
          <w:p w14:paraId="1CE780F0" w14:textId="77777777" w:rsidR="00CC4CD9" w:rsidRPr="00B56577"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02DB4C60" w14:textId="784A3E4B" w:rsidR="00CC4CD9" w:rsidRPr="00B56577"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5E2A23" w:rsidRPr="00B56577" w14:paraId="42D9B660"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0D038E" w14:textId="0A0A9964"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Q7</w:t>
            </w:r>
          </w:p>
        </w:tc>
        <w:tc>
          <w:tcPr>
            <w:tcW w:w="0" w:type="auto"/>
            <w:vAlign w:val="center"/>
          </w:tcPr>
          <w:p w14:paraId="584E350D" w14:textId="4FC71B45"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used to reduce Core User Fixed charges, and with the proposed approach for doing so? Please provide your rationale.</w:t>
            </w:r>
          </w:p>
        </w:tc>
        <w:tc>
          <w:tcPr>
            <w:tcW w:w="0" w:type="auto"/>
            <w:vAlign w:val="center"/>
          </w:tcPr>
          <w:p w14:paraId="4749FB51" w14:textId="77777777" w:rsidR="00CC4CD9" w:rsidRPr="00B56577"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4B562517" w14:textId="7C3B1D47" w:rsidR="00CC4CD9" w:rsidRPr="00B56577"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5E2A23" w:rsidRPr="00B56577" w14:paraId="456BD11E"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F59786" w14:textId="6FB17F85"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Q8</w:t>
            </w:r>
          </w:p>
        </w:tc>
        <w:tc>
          <w:tcPr>
            <w:tcW w:w="0" w:type="auto"/>
            <w:vAlign w:val="center"/>
          </w:tcPr>
          <w:p w14:paraId="7FC29DD5" w14:textId="01131612"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impact of introducing variable charges for Other Users? Do you have any concerns around the impact of this change, and if so, can you provide views on how it can be mitigated? Please provide reasons for your response and include evidence to support this where possible.</w:t>
            </w:r>
          </w:p>
        </w:tc>
        <w:tc>
          <w:tcPr>
            <w:tcW w:w="0" w:type="auto"/>
            <w:vAlign w:val="center"/>
          </w:tcPr>
          <w:p w14:paraId="682DF062" w14:textId="1FA732A1" w:rsidR="00CC4CD9" w:rsidRPr="00B56577" w:rsidRDefault="007D6D9D"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are concerned that the structure of the proposed charges would be </w:t>
            </w:r>
            <w:r w:rsidR="00354857">
              <w:rPr>
                <w:rFonts w:ascii="Lato" w:hAnsi="Lato"/>
              </w:rPr>
              <w:t xml:space="preserve">market impacting, </w:t>
            </w:r>
            <w:r>
              <w:rPr>
                <w:rFonts w:ascii="Lato" w:hAnsi="Lato"/>
              </w:rPr>
              <w:t>such that Other Users would be incentivised to limit the size of their business to avoid the charges</w:t>
            </w:r>
            <w:r w:rsidR="00354857">
              <w:rPr>
                <w:rFonts w:ascii="Lato" w:hAnsi="Lato"/>
              </w:rPr>
              <w:t xml:space="preserve"> and remain competitive with suppliers, who would not face the equivalent transaction charges</w:t>
            </w:r>
            <w:r>
              <w:rPr>
                <w:rFonts w:ascii="Lato" w:hAnsi="Lato"/>
              </w:rPr>
              <w:t>.</w:t>
            </w:r>
          </w:p>
        </w:tc>
      </w:tr>
      <w:tr w:rsidR="005E2A23" w:rsidRPr="00B56577" w14:paraId="19AAFE64"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356AC2" w14:textId="53521DB0"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Q9</w:t>
            </w:r>
          </w:p>
        </w:tc>
        <w:tc>
          <w:tcPr>
            <w:tcW w:w="0" w:type="auto"/>
            <w:vAlign w:val="center"/>
          </w:tcPr>
          <w:p w14:paraId="444D823F" w14:textId="5DE2454D"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Based on the changes to charging proposed in this consultation do you have any further reflections on the potential interaction with a SMEDR?</w:t>
            </w:r>
          </w:p>
        </w:tc>
        <w:tc>
          <w:tcPr>
            <w:tcW w:w="0" w:type="auto"/>
            <w:vAlign w:val="center"/>
          </w:tcPr>
          <w:p w14:paraId="6C8A88B2" w14:textId="59CA5F3D" w:rsidR="00CC4CD9" w:rsidRPr="00B56577" w:rsidRDefault="007D6D9D"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are concerned that the </w:t>
            </w:r>
            <w:r w:rsidR="007F53E7">
              <w:rPr>
                <w:rFonts w:ascii="Lato" w:hAnsi="Lato"/>
              </w:rPr>
              <w:t xml:space="preserve">arrangements associated with </w:t>
            </w:r>
            <w:r>
              <w:rPr>
                <w:rFonts w:ascii="Lato" w:hAnsi="Lato"/>
              </w:rPr>
              <w:t xml:space="preserve">introducing any transaction charging arrangements may </w:t>
            </w:r>
            <w:r w:rsidR="007F53E7">
              <w:rPr>
                <w:rFonts w:ascii="Lato" w:hAnsi="Lato"/>
              </w:rPr>
              <w:t xml:space="preserve">need to be revisited </w:t>
            </w:r>
            <w:r>
              <w:rPr>
                <w:rFonts w:ascii="Lato" w:hAnsi="Lato"/>
              </w:rPr>
              <w:t xml:space="preserve">if initiatives to create a smart data repository are progressed. Consequently we think that </w:t>
            </w:r>
            <w:r w:rsidR="00383F1E">
              <w:rPr>
                <w:rFonts w:ascii="Lato" w:hAnsi="Lato"/>
              </w:rPr>
              <w:t xml:space="preserve">consideration should be given to placing </w:t>
            </w:r>
            <w:r>
              <w:rPr>
                <w:rFonts w:ascii="Lato" w:hAnsi="Lato"/>
              </w:rPr>
              <w:t>any changes to introduce transaction charges on hold until the way forward on SMEDR is better known.</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B6705E">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8FEB5" w14:textId="77777777" w:rsidR="00723669" w:rsidRDefault="00723669" w:rsidP="00FA568E">
      <w:pPr>
        <w:spacing w:after="0"/>
      </w:pPr>
      <w:r>
        <w:separator/>
      </w:r>
    </w:p>
  </w:endnote>
  <w:endnote w:type="continuationSeparator" w:id="0">
    <w:p w14:paraId="5ADC5294" w14:textId="77777777" w:rsidR="00723669" w:rsidRDefault="00723669" w:rsidP="00FA568E">
      <w:pPr>
        <w:spacing w:after="0"/>
      </w:pPr>
      <w:r>
        <w:continuationSeparator/>
      </w:r>
    </w:p>
  </w:endnote>
  <w:endnote w:type="continuationNotice" w:id="1">
    <w:p w14:paraId="5C02C437" w14:textId="77777777" w:rsidR="00723669" w:rsidRDefault="0072366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altName w:val="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15748" w14:textId="77777777" w:rsidR="0004009E" w:rsidRDefault="00040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2DEE08F5" w14:textId="34C16EF7" w:rsidR="00E34ABA" w:rsidRDefault="005F7F6C" w:rsidP="00F37854">
          <w:pPr>
            <w:pStyle w:val="Footer"/>
            <w:rPr>
              <w:sz w:val="20"/>
              <w:szCs w:val="20"/>
            </w:rPr>
          </w:pPr>
          <w:r>
            <w:rPr>
              <w:noProof/>
              <w:sz w:val="20"/>
              <w:szCs w:val="20"/>
            </w:rPr>
            <mc:AlternateContent>
              <mc:Choice Requires="wps">
                <w:drawing>
                  <wp:anchor distT="0" distB="0" distL="114300" distR="114300" simplePos="0" relativeHeight="251662336"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4D59CB">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7B40" w14:textId="77777777" w:rsidR="0004009E" w:rsidRDefault="000400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E49F0" w14:textId="77777777" w:rsidR="00723669" w:rsidRDefault="00723669" w:rsidP="00FA568E">
      <w:pPr>
        <w:spacing w:after="0"/>
      </w:pPr>
      <w:r>
        <w:separator/>
      </w:r>
    </w:p>
  </w:footnote>
  <w:footnote w:type="continuationSeparator" w:id="0">
    <w:p w14:paraId="165C17F7" w14:textId="77777777" w:rsidR="00723669" w:rsidRDefault="00723669" w:rsidP="00FA568E">
      <w:pPr>
        <w:spacing w:after="0"/>
      </w:pPr>
      <w:r>
        <w:continuationSeparator/>
      </w:r>
    </w:p>
  </w:footnote>
  <w:footnote w:type="continuationNotice" w:id="1">
    <w:p w14:paraId="1523A410" w14:textId="77777777" w:rsidR="00723669" w:rsidRDefault="0072366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2D85B" w14:textId="77777777" w:rsidR="0004009E" w:rsidRDefault="000400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82D1" w14:textId="119F4015"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E760E5">
      <w:rPr>
        <w:rFonts w:ascii="Lato" w:hAnsi="Lato"/>
      </w:rPr>
      <w:t xml:space="preserve">DCC </w:t>
    </w:r>
    <w:r w:rsidR="000D5C57">
      <w:rPr>
        <w:rFonts w:ascii="Lato" w:hAnsi="Lato"/>
      </w:rPr>
      <w:t xml:space="preserve">consultation on the </w:t>
    </w:r>
    <w:r w:rsidR="00E760E5">
      <w:rPr>
        <w:rFonts w:ascii="Lato" w:hAnsi="Lato"/>
      </w:rPr>
      <w:t>Charging Methodology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5A50E" w14:textId="77777777" w:rsidR="0004009E" w:rsidRDefault="00040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pStyle w:val="Heading1"/>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pStyle w:val="Heading2"/>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0"/>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2"/>
  </w:num>
  <w:num w:numId="32" w16cid:durableId="688145661">
    <w:abstractNumId w:val="5"/>
  </w:num>
  <w:num w:numId="33" w16cid:durableId="1035077202">
    <w:abstractNumId w:val="18"/>
  </w:num>
  <w:num w:numId="34" w16cid:durableId="513805101">
    <w:abstractNumId w:val="31"/>
  </w:num>
  <w:num w:numId="35" w16cid:durableId="833491217">
    <w:abstractNumId w:val="30"/>
  </w:num>
  <w:num w:numId="36" w16cid:durableId="1313607884">
    <w:abstractNumId w:val="30"/>
  </w:num>
  <w:num w:numId="37" w16cid:durableId="1092973961">
    <w:abstractNumId w:val="30"/>
  </w:num>
  <w:num w:numId="38" w16cid:durableId="188987181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184E"/>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601B"/>
    <w:rsid w:val="00016A1E"/>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09E"/>
    <w:rsid w:val="00040582"/>
    <w:rsid w:val="00040EC8"/>
    <w:rsid w:val="00041C64"/>
    <w:rsid w:val="000431FA"/>
    <w:rsid w:val="00043637"/>
    <w:rsid w:val="00044E8C"/>
    <w:rsid w:val="000530A4"/>
    <w:rsid w:val="00055BB5"/>
    <w:rsid w:val="00056367"/>
    <w:rsid w:val="00056889"/>
    <w:rsid w:val="000574A0"/>
    <w:rsid w:val="00062D5C"/>
    <w:rsid w:val="00064A57"/>
    <w:rsid w:val="00064C0A"/>
    <w:rsid w:val="00065B5E"/>
    <w:rsid w:val="00067235"/>
    <w:rsid w:val="00070535"/>
    <w:rsid w:val="00071310"/>
    <w:rsid w:val="0007313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21B5"/>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C57"/>
    <w:rsid w:val="000D626B"/>
    <w:rsid w:val="000D7209"/>
    <w:rsid w:val="000D7ACA"/>
    <w:rsid w:val="000E100A"/>
    <w:rsid w:val="000E190B"/>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3633"/>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7C5F"/>
    <w:rsid w:val="00171256"/>
    <w:rsid w:val="00173189"/>
    <w:rsid w:val="001768E6"/>
    <w:rsid w:val="001805D9"/>
    <w:rsid w:val="00180C58"/>
    <w:rsid w:val="00180D21"/>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1B3"/>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9F6"/>
    <w:rsid w:val="001B1AC0"/>
    <w:rsid w:val="001B2AE7"/>
    <w:rsid w:val="001B2FAE"/>
    <w:rsid w:val="001B5CEE"/>
    <w:rsid w:val="001B6690"/>
    <w:rsid w:val="001B7475"/>
    <w:rsid w:val="001B7A62"/>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312B"/>
    <w:rsid w:val="001E4559"/>
    <w:rsid w:val="001E4FBF"/>
    <w:rsid w:val="001E5E83"/>
    <w:rsid w:val="001E68DA"/>
    <w:rsid w:val="001E777F"/>
    <w:rsid w:val="001E7784"/>
    <w:rsid w:val="001E7F84"/>
    <w:rsid w:val="001F05D0"/>
    <w:rsid w:val="001F08BD"/>
    <w:rsid w:val="001F118F"/>
    <w:rsid w:val="001F48BD"/>
    <w:rsid w:val="001F4AAC"/>
    <w:rsid w:val="001F4BFF"/>
    <w:rsid w:val="001F56B1"/>
    <w:rsid w:val="001F599B"/>
    <w:rsid w:val="001F5CE8"/>
    <w:rsid w:val="001F5F4E"/>
    <w:rsid w:val="002010E0"/>
    <w:rsid w:val="00201361"/>
    <w:rsid w:val="00201C82"/>
    <w:rsid w:val="00201D17"/>
    <w:rsid w:val="00201EB8"/>
    <w:rsid w:val="00202084"/>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5AE"/>
    <w:rsid w:val="00222909"/>
    <w:rsid w:val="00222C88"/>
    <w:rsid w:val="0022370A"/>
    <w:rsid w:val="00223C5F"/>
    <w:rsid w:val="00227287"/>
    <w:rsid w:val="0023250C"/>
    <w:rsid w:val="00233DEA"/>
    <w:rsid w:val="002343C7"/>
    <w:rsid w:val="002347C4"/>
    <w:rsid w:val="00235529"/>
    <w:rsid w:val="0023572D"/>
    <w:rsid w:val="00236032"/>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906"/>
    <w:rsid w:val="00276C39"/>
    <w:rsid w:val="00281673"/>
    <w:rsid w:val="002824C6"/>
    <w:rsid w:val="00282A5F"/>
    <w:rsid w:val="00282E4F"/>
    <w:rsid w:val="00285B51"/>
    <w:rsid w:val="00286CF5"/>
    <w:rsid w:val="00287479"/>
    <w:rsid w:val="00290158"/>
    <w:rsid w:val="00291741"/>
    <w:rsid w:val="002931B8"/>
    <w:rsid w:val="00293DE4"/>
    <w:rsid w:val="00293EDE"/>
    <w:rsid w:val="00295B8C"/>
    <w:rsid w:val="00295D63"/>
    <w:rsid w:val="00295EA5"/>
    <w:rsid w:val="002971C0"/>
    <w:rsid w:val="002A05BD"/>
    <w:rsid w:val="002A35FB"/>
    <w:rsid w:val="002A3882"/>
    <w:rsid w:val="002A3F9C"/>
    <w:rsid w:val="002A4258"/>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6635"/>
    <w:rsid w:val="002E6812"/>
    <w:rsid w:val="002E6D16"/>
    <w:rsid w:val="002E7478"/>
    <w:rsid w:val="002F0051"/>
    <w:rsid w:val="002F11EE"/>
    <w:rsid w:val="002F1789"/>
    <w:rsid w:val="002F208B"/>
    <w:rsid w:val="002F2865"/>
    <w:rsid w:val="002F342F"/>
    <w:rsid w:val="002F3B3A"/>
    <w:rsid w:val="002F4E04"/>
    <w:rsid w:val="002F7E81"/>
    <w:rsid w:val="00300A68"/>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6163"/>
    <w:rsid w:val="0031740C"/>
    <w:rsid w:val="00317745"/>
    <w:rsid w:val="003178C7"/>
    <w:rsid w:val="00321031"/>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456"/>
    <w:rsid w:val="00347A8F"/>
    <w:rsid w:val="00350615"/>
    <w:rsid w:val="00350707"/>
    <w:rsid w:val="00350A9A"/>
    <w:rsid w:val="00351134"/>
    <w:rsid w:val="00351685"/>
    <w:rsid w:val="003536E3"/>
    <w:rsid w:val="00354857"/>
    <w:rsid w:val="003568B8"/>
    <w:rsid w:val="003578AF"/>
    <w:rsid w:val="00357D66"/>
    <w:rsid w:val="00360B1C"/>
    <w:rsid w:val="00360D23"/>
    <w:rsid w:val="00364B0A"/>
    <w:rsid w:val="00370238"/>
    <w:rsid w:val="00371077"/>
    <w:rsid w:val="003712C6"/>
    <w:rsid w:val="00372BB1"/>
    <w:rsid w:val="00372D62"/>
    <w:rsid w:val="00375285"/>
    <w:rsid w:val="00376052"/>
    <w:rsid w:val="00376B83"/>
    <w:rsid w:val="003825E4"/>
    <w:rsid w:val="00383F1E"/>
    <w:rsid w:val="00385D47"/>
    <w:rsid w:val="00385FC5"/>
    <w:rsid w:val="00387B0F"/>
    <w:rsid w:val="00387F24"/>
    <w:rsid w:val="00390B17"/>
    <w:rsid w:val="00390E9F"/>
    <w:rsid w:val="00391B09"/>
    <w:rsid w:val="00393741"/>
    <w:rsid w:val="00393963"/>
    <w:rsid w:val="00393B0D"/>
    <w:rsid w:val="00393F79"/>
    <w:rsid w:val="00394F39"/>
    <w:rsid w:val="00395DC8"/>
    <w:rsid w:val="003977DA"/>
    <w:rsid w:val="003A0598"/>
    <w:rsid w:val="003A0880"/>
    <w:rsid w:val="003A0A3F"/>
    <w:rsid w:val="003A0A71"/>
    <w:rsid w:val="003A23F6"/>
    <w:rsid w:val="003A3B09"/>
    <w:rsid w:val="003A412B"/>
    <w:rsid w:val="003A5463"/>
    <w:rsid w:val="003A5BDC"/>
    <w:rsid w:val="003A65E2"/>
    <w:rsid w:val="003A6B61"/>
    <w:rsid w:val="003A6C64"/>
    <w:rsid w:val="003A7C41"/>
    <w:rsid w:val="003B1035"/>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6425"/>
    <w:rsid w:val="004064E0"/>
    <w:rsid w:val="00406C41"/>
    <w:rsid w:val="00406EB9"/>
    <w:rsid w:val="00406ED7"/>
    <w:rsid w:val="00407AEF"/>
    <w:rsid w:val="004119FB"/>
    <w:rsid w:val="004122B8"/>
    <w:rsid w:val="00412369"/>
    <w:rsid w:val="004126FA"/>
    <w:rsid w:val="00412A22"/>
    <w:rsid w:val="00413255"/>
    <w:rsid w:val="00415690"/>
    <w:rsid w:val="00415696"/>
    <w:rsid w:val="0041569B"/>
    <w:rsid w:val="00422846"/>
    <w:rsid w:val="00422DE0"/>
    <w:rsid w:val="00422EF3"/>
    <w:rsid w:val="00423A1D"/>
    <w:rsid w:val="0042418F"/>
    <w:rsid w:val="00424B53"/>
    <w:rsid w:val="00425B34"/>
    <w:rsid w:val="00426134"/>
    <w:rsid w:val="004274E0"/>
    <w:rsid w:val="004277F0"/>
    <w:rsid w:val="0043010B"/>
    <w:rsid w:val="00430182"/>
    <w:rsid w:val="0043041F"/>
    <w:rsid w:val="004313F5"/>
    <w:rsid w:val="0043177D"/>
    <w:rsid w:val="004320E3"/>
    <w:rsid w:val="0043422F"/>
    <w:rsid w:val="004347F0"/>
    <w:rsid w:val="00434FE5"/>
    <w:rsid w:val="00435F8A"/>
    <w:rsid w:val="00437088"/>
    <w:rsid w:val="004370E5"/>
    <w:rsid w:val="004372F0"/>
    <w:rsid w:val="00437F9E"/>
    <w:rsid w:val="00440360"/>
    <w:rsid w:val="0044217A"/>
    <w:rsid w:val="00443F93"/>
    <w:rsid w:val="00444342"/>
    <w:rsid w:val="004449D9"/>
    <w:rsid w:val="004466E7"/>
    <w:rsid w:val="00446A5E"/>
    <w:rsid w:val="00450D53"/>
    <w:rsid w:val="00451333"/>
    <w:rsid w:val="004514E4"/>
    <w:rsid w:val="0045249F"/>
    <w:rsid w:val="00452F27"/>
    <w:rsid w:val="00453768"/>
    <w:rsid w:val="00453782"/>
    <w:rsid w:val="004539F0"/>
    <w:rsid w:val="00453EA5"/>
    <w:rsid w:val="00454D2F"/>
    <w:rsid w:val="0045544A"/>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A016C"/>
    <w:rsid w:val="004A3969"/>
    <w:rsid w:val="004A4FD8"/>
    <w:rsid w:val="004A5819"/>
    <w:rsid w:val="004A627F"/>
    <w:rsid w:val="004A6CBB"/>
    <w:rsid w:val="004B040C"/>
    <w:rsid w:val="004B0A6E"/>
    <w:rsid w:val="004B1BCE"/>
    <w:rsid w:val="004B1BF7"/>
    <w:rsid w:val="004B2131"/>
    <w:rsid w:val="004B2950"/>
    <w:rsid w:val="004B2C0E"/>
    <w:rsid w:val="004B2C2A"/>
    <w:rsid w:val="004B3ADB"/>
    <w:rsid w:val="004B3C40"/>
    <w:rsid w:val="004B4611"/>
    <w:rsid w:val="004B4D09"/>
    <w:rsid w:val="004B6508"/>
    <w:rsid w:val="004C003B"/>
    <w:rsid w:val="004C0999"/>
    <w:rsid w:val="004C0B90"/>
    <w:rsid w:val="004C1225"/>
    <w:rsid w:val="004C1AE3"/>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5C72"/>
    <w:rsid w:val="00536503"/>
    <w:rsid w:val="005372A9"/>
    <w:rsid w:val="00540872"/>
    <w:rsid w:val="005410AB"/>
    <w:rsid w:val="00541145"/>
    <w:rsid w:val="00541A5B"/>
    <w:rsid w:val="00541C5D"/>
    <w:rsid w:val="00542352"/>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61A9"/>
    <w:rsid w:val="00566F5B"/>
    <w:rsid w:val="00570FE3"/>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515A"/>
    <w:rsid w:val="005D56FB"/>
    <w:rsid w:val="005D6853"/>
    <w:rsid w:val="005D6E06"/>
    <w:rsid w:val="005E1E32"/>
    <w:rsid w:val="005E2A23"/>
    <w:rsid w:val="005E2C83"/>
    <w:rsid w:val="005E351B"/>
    <w:rsid w:val="005E4D5B"/>
    <w:rsid w:val="005E56C0"/>
    <w:rsid w:val="005E5B8B"/>
    <w:rsid w:val="005E5EA5"/>
    <w:rsid w:val="005E63B8"/>
    <w:rsid w:val="005F0024"/>
    <w:rsid w:val="005F1B6F"/>
    <w:rsid w:val="005F2A47"/>
    <w:rsid w:val="005F43B9"/>
    <w:rsid w:val="005F4532"/>
    <w:rsid w:val="005F464F"/>
    <w:rsid w:val="005F4B60"/>
    <w:rsid w:val="005F5B8F"/>
    <w:rsid w:val="005F5EC8"/>
    <w:rsid w:val="005F6D09"/>
    <w:rsid w:val="005F7F6C"/>
    <w:rsid w:val="006008AD"/>
    <w:rsid w:val="00600FDA"/>
    <w:rsid w:val="00604014"/>
    <w:rsid w:val="0060403D"/>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371EF"/>
    <w:rsid w:val="006374E9"/>
    <w:rsid w:val="00642AF2"/>
    <w:rsid w:val="00644598"/>
    <w:rsid w:val="00644A88"/>
    <w:rsid w:val="006469EB"/>
    <w:rsid w:val="00647DE9"/>
    <w:rsid w:val="00650BAD"/>
    <w:rsid w:val="00650D99"/>
    <w:rsid w:val="00650F48"/>
    <w:rsid w:val="0065146C"/>
    <w:rsid w:val="00651784"/>
    <w:rsid w:val="00652BE8"/>
    <w:rsid w:val="006536B3"/>
    <w:rsid w:val="006540A8"/>
    <w:rsid w:val="00654CB7"/>
    <w:rsid w:val="00655912"/>
    <w:rsid w:val="00656DA2"/>
    <w:rsid w:val="00657B27"/>
    <w:rsid w:val="00662C89"/>
    <w:rsid w:val="00662DE7"/>
    <w:rsid w:val="00662ED1"/>
    <w:rsid w:val="00663742"/>
    <w:rsid w:val="00665106"/>
    <w:rsid w:val="006672D3"/>
    <w:rsid w:val="00671D44"/>
    <w:rsid w:val="006724B5"/>
    <w:rsid w:val="00673396"/>
    <w:rsid w:val="006734C3"/>
    <w:rsid w:val="00673928"/>
    <w:rsid w:val="00673B5A"/>
    <w:rsid w:val="00673EEB"/>
    <w:rsid w:val="006741BE"/>
    <w:rsid w:val="0067478E"/>
    <w:rsid w:val="00674D62"/>
    <w:rsid w:val="006757B9"/>
    <w:rsid w:val="00676777"/>
    <w:rsid w:val="00676C2B"/>
    <w:rsid w:val="00676FA3"/>
    <w:rsid w:val="00677316"/>
    <w:rsid w:val="00677DEA"/>
    <w:rsid w:val="0068108E"/>
    <w:rsid w:val="0068176C"/>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2043"/>
    <w:rsid w:val="006A2341"/>
    <w:rsid w:val="006A23DA"/>
    <w:rsid w:val="006A28D5"/>
    <w:rsid w:val="006A2F3E"/>
    <w:rsid w:val="006A3289"/>
    <w:rsid w:val="006A3933"/>
    <w:rsid w:val="006A4E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D56C7"/>
    <w:rsid w:val="006D6F6D"/>
    <w:rsid w:val="006E010B"/>
    <w:rsid w:val="006E0C28"/>
    <w:rsid w:val="006E26D9"/>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D9"/>
    <w:rsid w:val="00714998"/>
    <w:rsid w:val="0071784A"/>
    <w:rsid w:val="00720E9D"/>
    <w:rsid w:val="00721005"/>
    <w:rsid w:val="007212A7"/>
    <w:rsid w:val="00721324"/>
    <w:rsid w:val="00721CD9"/>
    <w:rsid w:val="00722C59"/>
    <w:rsid w:val="0072366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4E8F"/>
    <w:rsid w:val="00745CDA"/>
    <w:rsid w:val="00745D6B"/>
    <w:rsid w:val="00745F8D"/>
    <w:rsid w:val="00746AD2"/>
    <w:rsid w:val="0074788C"/>
    <w:rsid w:val="007478F4"/>
    <w:rsid w:val="00747AB8"/>
    <w:rsid w:val="007530EB"/>
    <w:rsid w:val="00753E7E"/>
    <w:rsid w:val="00754ADF"/>
    <w:rsid w:val="007557C1"/>
    <w:rsid w:val="00755A89"/>
    <w:rsid w:val="00757626"/>
    <w:rsid w:val="0076061C"/>
    <w:rsid w:val="007617AC"/>
    <w:rsid w:val="00765684"/>
    <w:rsid w:val="00765888"/>
    <w:rsid w:val="00765B73"/>
    <w:rsid w:val="00772013"/>
    <w:rsid w:val="00772CE4"/>
    <w:rsid w:val="00772D02"/>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2D6A"/>
    <w:rsid w:val="007934EA"/>
    <w:rsid w:val="00794FB5"/>
    <w:rsid w:val="007951DD"/>
    <w:rsid w:val="007953E7"/>
    <w:rsid w:val="0079628D"/>
    <w:rsid w:val="00796E0C"/>
    <w:rsid w:val="007A093C"/>
    <w:rsid w:val="007A18BE"/>
    <w:rsid w:val="007A2DAC"/>
    <w:rsid w:val="007A3A01"/>
    <w:rsid w:val="007A3BF2"/>
    <w:rsid w:val="007A5519"/>
    <w:rsid w:val="007A5881"/>
    <w:rsid w:val="007A589F"/>
    <w:rsid w:val="007A698C"/>
    <w:rsid w:val="007A7CD8"/>
    <w:rsid w:val="007B0945"/>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7585"/>
    <w:rsid w:val="007D05AA"/>
    <w:rsid w:val="007D137E"/>
    <w:rsid w:val="007D1AA7"/>
    <w:rsid w:val="007D1C0E"/>
    <w:rsid w:val="007D2211"/>
    <w:rsid w:val="007D24D9"/>
    <w:rsid w:val="007D42F0"/>
    <w:rsid w:val="007D4BD3"/>
    <w:rsid w:val="007D4BF4"/>
    <w:rsid w:val="007D540C"/>
    <w:rsid w:val="007D68BF"/>
    <w:rsid w:val="007D6BF5"/>
    <w:rsid w:val="007D6D9D"/>
    <w:rsid w:val="007D6E1D"/>
    <w:rsid w:val="007D709F"/>
    <w:rsid w:val="007D7F3B"/>
    <w:rsid w:val="007E0EA2"/>
    <w:rsid w:val="007E149E"/>
    <w:rsid w:val="007E15B7"/>
    <w:rsid w:val="007E1D76"/>
    <w:rsid w:val="007E1EBE"/>
    <w:rsid w:val="007E20BB"/>
    <w:rsid w:val="007E24AE"/>
    <w:rsid w:val="007E2914"/>
    <w:rsid w:val="007E29CF"/>
    <w:rsid w:val="007E3ED4"/>
    <w:rsid w:val="007E6E1B"/>
    <w:rsid w:val="007E6F6A"/>
    <w:rsid w:val="007E7802"/>
    <w:rsid w:val="007F1139"/>
    <w:rsid w:val="007F20DA"/>
    <w:rsid w:val="007F219F"/>
    <w:rsid w:val="007F23AB"/>
    <w:rsid w:val="007F345B"/>
    <w:rsid w:val="007F35F8"/>
    <w:rsid w:val="007F37ED"/>
    <w:rsid w:val="007F3A28"/>
    <w:rsid w:val="007F3B3F"/>
    <w:rsid w:val="007F3B85"/>
    <w:rsid w:val="007F4840"/>
    <w:rsid w:val="007F53E7"/>
    <w:rsid w:val="008014A3"/>
    <w:rsid w:val="00802E7F"/>
    <w:rsid w:val="0080336B"/>
    <w:rsid w:val="00803D6C"/>
    <w:rsid w:val="00804B17"/>
    <w:rsid w:val="00805669"/>
    <w:rsid w:val="00810111"/>
    <w:rsid w:val="008102F3"/>
    <w:rsid w:val="00811319"/>
    <w:rsid w:val="00812636"/>
    <w:rsid w:val="00812AF2"/>
    <w:rsid w:val="008141BD"/>
    <w:rsid w:val="008149F2"/>
    <w:rsid w:val="0081588D"/>
    <w:rsid w:val="00815AED"/>
    <w:rsid w:val="00816328"/>
    <w:rsid w:val="00816C33"/>
    <w:rsid w:val="00817EE8"/>
    <w:rsid w:val="00821976"/>
    <w:rsid w:val="0082203F"/>
    <w:rsid w:val="00823CF0"/>
    <w:rsid w:val="008249DC"/>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2223"/>
    <w:rsid w:val="00893091"/>
    <w:rsid w:val="00895B89"/>
    <w:rsid w:val="00895F1A"/>
    <w:rsid w:val="00896606"/>
    <w:rsid w:val="00897632"/>
    <w:rsid w:val="008A10C5"/>
    <w:rsid w:val="008A1C99"/>
    <w:rsid w:val="008A296D"/>
    <w:rsid w:val="008A428B"/>
    <w:rsid w:val="008A52B0"/>
    <w:rsid w:val="008A616C"/>
    <w:rsid w:val="008A7E58"/>
    <w:rsid w:val="008B0874"/>
    <w:rsid w:val="008B25C4"/>
    <w:rsid w:val="008B2DC0"/>
    <w:rsid w:val="008B353A"/>
    <w:rsid w:val="008B39FF"/>
    <w:rsid w:val="008B5ADB"/>
    <w:rsid w:val="008B5F33"/>
    <w:rsid w:val="008B7164"/>
    <w:rsid w:val="008C04AF"/>
    <w:rsid w:val="008C1F11"/>
    <w:rsid w:val="008C5AF9"/>
    <w:rsid w:val="008C618F"/>
    <w:rsid w:val="008C67CE"/>
    <w:rsid w:val="008C68C3"/>
    <w:rsid w:val="008C6BA2"/>
    <w:rsid w:val="008C6F7F"/>
    <w:rsid w:val="008C7743"/>
    <w:rsid w:val="008D0AEC"/>
    <w:rsid w:val="008D0B80"/>
    <w:rsid w:val="008D184C"/>
    <w:rsid w:val="008D3EE1"/>
    <w:rsid w:val="008D4E90"/>
    <w:rsid w:val="008D5009"/>
    <w:rsid w:val="008D6F40"/>
    <w:rsid w:val="008D740E"/>
    <w:rsid w:val="008E20C6"/>
    <w:rsid w:val="008E25C6"/>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F74"/>
    <w:rsid w:val="009006B8"/>
    <w:rsid w:val="00900AA8"/>
    <w:rsid w:val="00902CD9"/>
    <w:rsid w:val="00903028"/>
    <w:rsid w:val="00904D1F"/>
    <w:rsid w:val="00905067"/>
    <w:rsid w:val="00906B50"/>
    <w:rsid w:val="0090703A"/>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851"/>
    <w:rsid w:val="00924A00"/>
    <w:rsid w:val="00926D3D"/>
    <w:rsid w:val="0092773D"/>
    <w:rsid w:val="00930A25"/>
    <w:rsid w:val="009312D1"/>
    <w:rsid w:val="00931744"/>
    <w:rsid w:val="00931829"/>
    <w:rsid w:val="00932147"/>
    <w:rsid w:val="00934E2E"/>
    <w:rsid w:val="0093602D"/>
    <w:rsid w:val="00937A77"/>
    <w:rsid w:val="009406D7"/>
    <w:rsid w:val="00942787"/>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D4F"/>
    <w:rsid w:val="00963E77"/>
    <w:rsid w:val="009642E5"/>
    <w:rsid w:val="00965ADC"/>
    <w:rsid w:val="009660C1"/>
    <w:rsid w:val="00967ED8"/>
    <w:rsid w:val="009723C9"/>
    <w:rsid w:val="00973C8C"/>
    <w:rsid w:val="00974F0F"/>
    <w:rsid w:val="0097637D"/>
    <w:rsid w:val="00976397"/>
    <w:rsid w:val="00977677"/>
    <w:rsid w:val="00980733"/>
    <w:rsid w:val="00980839"/>
    <w:rsid w:val="009823B6"/>
    <w:rsid w:val="009837B9"/>
    <w:rsid w:val="009839E2"/>
    <w:rsid w:val="00984EA7"/>
    <w:rsid w:val="009855F8"/>
    <w:rsid w:val="00985C67"/>
    <w:rsid w:val="0098602D"/>
    <w:rsid w:val="00987CBE"/>
    <w:rsid w:val="00987E88"/>
    <w:rsid w:val="0099187F"/>
    <w:rsid w:val="0099201C"/>
    <w:rsid w:val="009931CF"/>
    <w:rsid w:val="0099375D"/>
    <w:rsid w:val="00994113"/>
    <w:rsid w:val="00994197"/>
    <w:rsid w:val="009948E6"/>
    <w:rsid w:val="00995FDB"/>
    <w:rsid w:val="00996848"/>
    <w:rsid w:val="00997516"/>
    <w:rsid w:val="009A1BBD"/>
    <w:rsid w:val="009A2EB3"/>
    <w:rsid w:val="009A77C8"/>
    <w:rsid w:val="009A7B67"/>
    <w:rsid w:val="009A7FCE"/>
    <w:rsid w:val="009B3148"/>
    <w:rsid w:val="009B57B4"/>
    <w:rsid w:val="009B5EC7"/>
    <w:rsid w:val="009B7111"/>
    <w:rsid w:val="009C111C"/>
    <w:rsid w:val="009C2F78"/>
    <w:rsid w:val="009C335B"/>
    <w:rsid w:val="009C3D84"/>
    <w:rsid w:val="009C5345"/>
    <w:rsid w:val="009C65DA"/>
    <w:rsid w:val="009C685F"/>
    <w:rsid w:val="009C6966"/>
    <w:rsid w:val="009C6F0C"/>
    <w:rsid w:val="009C7AD3"/>
    <w:rsid w:val="009C7F81"/>
    <w:rsid w:val="009D00A5"/>
    <w:rsid w:val="009D22A3"/>
    <w:rsid w:val="009D2DEA"/>
    <w:rsid w:val="009D37DE"/>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5E8"/>
    <w:rsid w:val="00A1499A"/>
    <w:rsid w:val="00A15DEA"/>
    <w:rsid w:val="00A2046E"/>
    <w:rsid w:val="00A22643"/>
    <w:rsid w:val="00A22E6C"/>
    <w:rsid w:val="00A23AA5"/>
    <w:rsid w:val="00A24328"/>
    <w:rsid w:val="00A26409"/>
    <w:rsid w:val="00A26F05"/>
    <w:rsid w:val="00A300F4"/>
    <w:rsid w:val="00A3218F"/>
    <w:rsid w:val="00A32F62"/>
    <w:rsid w:val="00A32F74"/>
    <w:rsid w:val="00A3374A"/>
    <w:rsid w:val="00A33CEC"/>
    <w:rsid w:val="00A37C25"/>
    <w:rsid w:val="00A41A88"/>
    <w:rsid w:val="00A42562"/>
    <w:rsid w:val="00A4289A"/>
    <w:rsid w:val="00A44C7F"/>
    <w:rsid w:val="00A452C7"/>
    <w:rsid w:val="00A45339"/>
    <w:rsid w:val="00A464ED"/>
    <w:rsid w:val="00A47AF8"/>
    <w:rsid w:val="00A50084"/>
    <w:rsid w:val="00A502C4"/>
    <w:rsid w:val="00A506FE"/>
    <w:rsid w:val="00A507CF"/>
    <w:rsid w:val="00A510D5"/>
    <w:rsid w:val="00A51490"/>
    <w:rsid w:val="00A5305D"/>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10"/>
    <w:rsid w:val="00A83B23"/>
    <w:rsid w:val="00A8498E"/>
    <w:rsid w:val="00A8523F"/>
    <w:rsid w:val="00A87136"/>
    <w:rsid w:val="00A87CA9"/>
    <w:rsid w:val="00A92F82"/>
    <w:rsid w:val="00A94C54"/>
    <w:rsid w:val="00A95E22"/>
    <w:rsid w:val="00A9763E"/>
    <w:rsid w:val="00AA16A9"/>
    <w:rsid w:val="00AA46DD"/>
    <w:rsid w:val="00AA7448"/>
    <w:rsid w:val="00AA7A58"/>
    <w:rsid w:val="00AA7EDE"/>
    <w:rsid w:val="00AA7FBF"/>
    <w:rsid w:val="00AB1575"/>
    <w:rsid w:val="00AB20FD"/>
    <w:rsid w:val="00AB24C7"/>
    <w:rsid w:val="00AB2C04"/>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1260"/>
    <w:rsid w:val="00AD1C86"/>
    <w:rsid w:val="00AD2480"/>
    <w:rsid w:val="00AD2656"/>
    <w:rsid w:val="00AD31D7"/>
    <w:rsid w:val="00AD444A"/>
    <w:rsid w:val="00AD64AE"/>
    <w:rsid w:val="00AD7B1E"/>
    <w:rsid w:val="00AE0063"/>
    <w:rsid w:val="00AE01F2"/>
    <w:rsid w:val="00AE0F07"/>
    <w:rsid w:val="00AE194C"/>
    <w:rsid w:val="00AE328D"/>
    <w:rsid w:val="00AE3BE2"/>
    <w:rsid w:val="00AE3DB0"/>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33DF"/>
    <w:rsid w:val="00B35398"/>
    <w:rsid w:val="00B35B52"/>
    <w:rsid w:val="00B35CD1"/>
    <w:rsid w:val="00B36799"/>
    <w:rsid w:val="00B36F5A"/>
    <w:rsid w:val="00B42EDB"/>
    <w:rsid w:val="00B44403"/>
    <w:rsid w:val="00B449D6"/>
    <w:rsid w:val="00B458FE"/>
    <w:rsid w:val="00B45C73"/>
    <w:rsid w:val="00B45E0D"/>
    <w:rsid w:val="00B475D5"/>
    <w:rsid w:val="00B4780D"/>
    <w:rsid w:val="00B50B92"/>
    <w:rsid w:val="00B51605"/>
    <w:rsid w:val="00B51E7E"/>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B3"/>
    <w:rsid w:val="00B72E99"/>
    <w:rsid w:val="00B734CD"/>
    <w:rsid w:val="00B73F84"/>
    <w:rsid w:val="00B744B9"/>
    <w:rsid w:val="00B755C1"/>
    <w:rsid w:val="00B81280"/>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4B0D"/>
    <w:rsid w:val="00BA61F6"/>
    <w:rsid w:val="00BB0A94"/>
    <w:rsid w:val="00BB0E24"/>
    <w:rsid w:val="00BB1438"/>
    <w:rsid w:val="00BB1648"/>
    <w:rsid w:val="00BB1CD2"/>
    <w:rsid w:val="00BB2327"/>
    <w:rsid w:val="00BB263C"/>
    <w:rsid w:val="00BB2D3F"/>
    <w:rsid w:val="00BB5A74"/>
    <w:rsid w:val="00BB67F3"/>
    <w:rsid w:val="00BC1C0B"/>
    <w:rsid w:val="00BC407B"/>
    <w:rsid w:val="00BC4391"/>
    <w:rsid w:val="00BC6DEA"/>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3AB8"/>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563C"/>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BBB"/>
    <w:rsid w:val="00C46536"/>
    <w:rsid w:val="00C470F4"/>
    <w:rsid w:val="00C4777E"/>
    <w:rsid w:val="00C510F2"/>
    <w:rsid w:val="00C51143"/>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70148"/>
    <w:rsid w:val="00C70274"/>
    <w:rsid w:val="00C70472"/>
    <w:rsid w:val="00C71832"/>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F6A"/>
    <w:rsid w:val="00C9492B"/>
    <w:rsid w:val="00C95BD8"/>
    <w:rsid w:val="00C95CAE"/>
    <w:rsid w:val="00C96081"/>
    <w:rsid w:val="00C97578"/>
    <w:rsid w:val="00C97961"/>
    <w:rsid w:val="00C97EA8"/>
    <w:rsid w:val="00CA03F5"/>
    <w:rsid w:val="00CA2082"/>
    <w:rsid w:val="00CA3378"/>
    <w:rsid w:val="00CA4D07"/>
    <w:rsid w:val="00CA5744"/>
    <w:rsid w:val="00CA5AE5"/>
    <w:rsid w:val="00CA67D5"/>
    <w:rsid w:val="00CA7FAF"/>
    <w:rsid w:val="00CB0C32"/>
    <w:rsid w:val="00CB22DF"/>
    <w:rsid w:val="00CB36CA"/>
    <w:rsid w:val="00CB3E7D"/>
    <w:rsid w:val="00CB49E7"/>
    <w:rsid w:val="00CB4BC1"/>
    <w:rsid w:val="00CB5834"/>
    <w:rsid w:val="00CB5978"/>
    <w:rsid w:val="00CB6CF9"/>
    <w:rsid w:val="00CB6F08"/>
    <w:rsid w:val="00CC063E"/>
    <w:rsid w:val="00CC1713"/>
    <w:rsid w:val="00CC2065"/>
    <w:rsid w:val="00CC21A8"/>
    <w:rsid w:val="00CC2422"/>
    <w:rsid w:val="00CC2D89"/>
    <w:rsid w:val="00CC3923"/>
    <w:rsid w:val="00CC4697"/>
    <w:rsid w:val="00CC4AB4"/>
    <w:rsid w:val="00CC4BBF"/>
    <w:rsid w:val="00CC4CD9"/>
    <w:rsid w:val="00CC4DD8"/>
    <w:rsid w:val="00CC6421"/>
    <w:rsid w:val="00CD25AF"/>
    <w:rsid w:val="00CD2C22"/>
    <w:rsid w:val="00CD32D6"/>
    <w:rsid w:val="00CD5A4A"/>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515E"/>
    <w:rsid w:val="00D4554D"/>
    <w:rsid w:val="00D457D8"/>
    <w:rsid w:val="00D45A44"/>
    <w:rsid w:val="00D46547"/>
    <w:rsid w:val="00D46E89"/>
    <w:rsid w:val="00D474D1"/>
    <w:rsid w:val="00D47BBE"/>
    <w:rsid w:val="00D52006"/>
    <w:rsid w:val="00D52225"/>
    <w:rsid w:val="00D528E9"/>
    <w:rsid w:val="00D53F47"/>
    <w:rsid w:val="00D542DE"/>
    <w:rsid w:val="00D545B1"/>
    <w:rsid w:val="00D5522E"/>
    <w:rsid w:val="00D552B0"/>
    <w:rsid w:val="00D554D9"/>
    <w:rsid w:val="00D56154"/>
    <w:rsid w:val="00D57926"/>
    <w:rsid w:val="00D608ED"/>
    <w:rsid w:val="00D610B1"/>
    <w:rsid w:val="00D6295A"/>
    <w:rsid w:val="00D6429C"/>
    <w:rsid w:val="00D64E62"/>
    <w:rsid w:val="00D664BE"/>
    <w:rsid w:val="00D71ABE"/>
    <w:rsid w:val="00D720AC"/>
    <w:rsid w:val="00D7327A"/>
    <w:rsid w:val="00D7416D"/>
    <w:rsid w:val="00D75255"/>
    <w:rsid w:val="00D7572F"/>
    <w:rsid w:val="00D76BF5"/>
    <w:rsid w:val="00D76E90"/>
    <w:rsid w:val="00D77C26"/>
    <w:rsid w:val="00D77C8E"/>
    <w:rsid w:val="00D77E73"/>
    <w:rsid w:val="00D818E0"/>
    <w:rsid w:val="00D83BB1"/>
    <w:rsid w:val="00D85319"/>
    <w:rsid w:val="00D8604B"/>
    <w:rsid w:val="00D866C7"/>
    <w:rsid w:val="00D86D5B"/>
    <w:rsid w:val="00D87641"/>
    <w:rsid w:val="00D87D62"/>
    <w:rsid w:val="00D903AB"/>
    <w:rsid w:val="00D90B9B"/>
    <w:rsid w:val="00D931C0"/>
    <w:rsid w:val="00D9373C"/>
    <w:rsid w:val="00D93DB5"/>
    <w:rsid w:val="00D95C64"/>
    <w:rsid w:val="00D96E3E"/>
    <w:rsid w:val="00DA1069"/>
    <w:rsid w:val="00DA13F2"/>
    <w:rsid w:val="00DA31A9"/>
    <w:rsid w:val="00DA47FB"/>
    <w:rsid w:val="00DA4AEE"/>
    <w:rsid w:val="00DA6510"/>
    <w:rsid w:val="00DA67A2"/>
    <w:rsid w:val="00DA7299"/>
    <w:rsid w:val="00DA7AED"/>
    <w:rsid w:val="00DA7D23"/>
    <w:rsid w:val="00DB0211"/>
    <w:rsid w:val="00DB0CE6"/>
    <w:rsid w:val="00DB3B32"/>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45"/>
    <w:rsid w:val="00DE6915"/>
    <w:rsid w:val="00DF0C29"/>
    <w:rsid w:val="00DF253D"/>
    <w:rsid w:val="00DF254C"/>
    <w:rsid w:val="00DF2AB7"/>
    <w:rsid w:val="00DF2AC5"/>
    <w:rsid w:val="00DF2C4F"/>
    <w:rsid w:val="00DF3236"/>
    <w:rsid w:val="00DF41E3"/>
    <w:rsid w:val="00DF46DD"/>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4576"/>
    <w:rsid w:val="00E2478E"/>
    <w:rsid w:val="00E2492C"/>
    <w:rsid w:val="00E24B38"/>
    <w:rsid w:val="00E25501"/>
    <w:rsid w:val="00E25690"/>
    <w:rsid w:val="00E25EB6"/>
    <w:rsid w:val="00E27055"/>
    <w:rsid w:val="00E301E0"/>
    <w:rsid w:val="00E302CD"/>
    <w:rsid w:val="00E309BE"/>
    <w:rsid w:val="00E31D1C"/>
    <w:rsid w:val="00E327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E04"/>
    <w:rsid w:val="00E64CDD"/>
    <w:rsid w:val="00E651ED"/>
    <w:rsid w:val="00E654A3"/>
    <w:rsid w:val="00E65EE5"/>
    <w:rsid w:val="00E66D50"/>
    <w:rsid w:val="00E675F9"/>
    <w:rsid w:val="00E7032B"/>
    <w:rsid w:val="00E73502"/>
    <w:rsid w:val="00E7452D"/>
    <w:rsid w:val="00E760E5"/>
    <w:rsid w:val="00E77033"/>
    <w:rsid w:val="00E8084B"/>
    <w:rsid w:val="00E81726"/>
    <w:rsid w:val="00E81E49"/>
    <w:rsid w:val="00E83823"/>
    <w:rsid w:val="00E859F8"/>
    <w:rsid w:val="00E85B34"/>
    <w:rsid w:val="00E85EBB"/>
    <w:rsid w:val="00E90469"/>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6381"/>
    <w:rsid w:val="00EB70B5"/>
    <w:rsid w:val="00EB7742"/>
    <w:rsid w:val="00EC0AAD"/>
    <w:rsid w:val="00EC208D"/>
    <w:rsid w:val="00EC2C2D"/>
    <w:rsid w:val="00EC2C82"/>
    <w:rsid w:val="00EC432C"/>
    <w:rsid w:val="00EC6DC6"/>
    <w:rsid w:val="00EC7361"/>
    <w:rsid w:val="00EC7A81"/>
    <w:rsid w:val="00ED0180"/>
    <w:rsid w:val="00ED0A49"/>
    <w:rsid w:val="00ED16DC"/>
    <w:rsid w:val="00ED1F96"/>
    <w:rsid w:val="00ED5AB7"/>
    <w:rsid w:val="00ED6594"/>
    <w:rsid w:val="00ED72B8"/>
    <w:rsid w:val="00EE077A"/>
    <w:rsid w:val="00EE115B"/>
    <w:rsid w:val="00EE231F"/>
    <w:rsid w:val="00EE23C3"/>
    <w:rsid w:val="00EE3462"/>
    <w:rsid w:val="00EE56A6"/>
    <w:rsid w:val="00EE5831"/>
    <w:rsid w:val="00EE5A03"/>
    <w:rsid w:val="00EE7201"/>
    <w:rsid w:val="00EE7215"/>
    <w:rsid w:val="00EE752A"/>
    <w:rsid w:val="00EE782C"/>
    <w:rsid w:val="00EF1414"/>
    <w:rsid w:val="00EF1A6E"/>
    <w:rsid w:val="00EF1A73"/>
    <w:rsid w:val="00EF1F45"/>
    <w:rsid w:val="00EF2869"/>
    <w:rsid w:val="00EF3AD5"/>
    <w:rsid w:val="00EF4562"/>
    <w:rsid w:val="00EF49B3"/>
    <w:rsid w:val="00EF4F41"/>
    <w:rsid w:val="00EF5F2D"/>
    <w:rsid w:val="00EF6481"/>
    <w:rsid w:val="00F00F06"/>
    <w:rsid w:val="00F0154D"/>
    <w:rsid w:val="00F0249F"/>
    <w:rsid w:val="00F02C25"/>
    <w:rsid w:val="00F04C5E"/>
    <w:rsid w:val="00F04F1D"/>
    <w:rsid w:val="00F0607E"/>
    <w:rsid w:val="00F06A24"/>
    <w:rsid w:val="00F06AAD"/>
    <w:rsid w:val="00F06F88"/>
    <w:rsid w:val="00F11B12"/>
    <w:rsid w:val="00F12FE1"/>
    <w:rsid w:val="00F13345"/>
    <w:rsid w:val="00F15DAC"/>
    <w:rsid w:val="00F16583"/>
    <w:rsid w:val="00F20C69"/>
    <w:rsid w:val="00F21B3A"/>
    <w:rsid w:val="00F22C85"/>
    <w:rsid w:val="00F22F28"/>
    <w:rsid w:val="00F2309D"/>
    <w:rsid w:val="00F239C5"/>
    <w:rsid w:val="00F250ED"/>
    <w:rsid w:val="00F255B7"/>
    <w:rsid w:val="00F26796"/>
    <w:rsid w:val="00F2706B"/>
    <w:rsid w:val="00F27273"/>
    <w:rsid w:val="00F27AB9"/>
    <w:rsid w:val="00F30A69"/>
    <w:rsid w:val="00F31298"/>
    <w:rsid w:val="00F32209"/>
    <w:rsid w:val="00F3283C"/>
    <w:rsid w:val="00F3289B"/>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84F"/>
    <w:rsid w:val="00F47938"/>
    <w:rsid w:val="00F51E15"/>
    <w:rsid w:val="00F52FBA"/>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6B1"/>
    <w:rsid w:val="00F67D3F"/>
    <w:rsid w:val="00F70F4C"/>
    <w:rsid w:val="00F746CA"/>
    <w:rsid w:val="00F74FF9"/>
    <w:rsid w:val="00F755E3"/>
    <w:rsid w:val="00F75EB9"/>
    <w:rsid w:val="00F76E3E"/>
    <w:rsid w:val="00F773BD"/>
    <w:rsid w:val="00F77892"/>
    <w:rsid w:val="00F806FF"/>
    <w:rsid w:val="00F80CD1"/>
    <w:rsid w:val="00F824D5"/>
    <w:rsid w:val="00F83B10"/>
    <w:rsid w:val="00F8486D"/>
    <w:rsid w:val="00F8524C"/>
    <w:rsid w:val="00F85D3F"/>
    <w:rsid w:val="00F85DCE"/>
    <w:rsid w:val="00F86380"/>
    <w:rsid w:val="00F872D6"/>
    <w:rsid w:val="00F9009E"/>
    <w:rsid w:val="00F90674"/>
    <w:rsid w:val="00F90A1C"/>
    <w:rsid w:val="00F91ECA"/>
    <w:rsid w:val="00F923F0"/>
    <w:rsid w:val="00F95202"/>
    <w:rsid w:val="00F96755"/>
    <w:rsid w:val="00F967E5"/>
    <w:rsid w:val="00F97D36"/>
    <w:rsid w:val="00FA0866"/>
    <w:rsid w:val="00FA0BE7"/>
    <w:rsid w:val="00FA11F5"/>
    <w:rsid w:val="00FA3373"/>
    <w:rsid w:val="00FA36F4"/>
    <w:rsid w:val="00FA486B"/>
    <w:rsid w:val="00FA568E"/>
    <w:rsid w:val="00FA5A69"/>
    <w:rsid w:val="00FA655C"/>
    <w:rsid w:val="00FB181A"/>
    <w:rsid w:val="00FB1BCF"/>
    <w:rsid w:val="00FB21AF"/>
    <w:rsid w:val="00FB26A2"/>
    <w:rsid w:val="00FB28BF"/>
    <w:rsid w:val="00FB2D87"/>
    <w:rsid w:val="00FB39A3"/>
    <w:rsid w:val="00FB3A2B"/>
    <w:rsid w:val="00FB41B0"/>
    <w:rsid w:val="00FB6151"/>
    <w:rsid w:val="00FB6299"/>
    <w:rsid w:val="00FB6BCE"/>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5A88"/>
    <w:rsid w:val="00FD5B0E"/>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213"/>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15:docId w15:val="{F81491EE-E5E5-45B3-918A-D0F72DCC1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qFormat/>
    <w:rsid w:val="00F21B3A"/>
    <w:pPr>
      <w:keepNext/>
      <w:numPr>
        <w:numId w:val="3"/>
      </w:numPr>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qFormat/>
    <w:rsid w:val="00D52006"/>
    <w:pPr>
      <w:keepNext/>
      <w:numPr>
        <w:ilvl w:val="1"/>
        <w:numId w:val="3"/>
      </w:numPr>
      <w:tabs>
        <w:tab w:val="clear" w:pos="1134"/>
        <w:tab w:val="num" w:pos="851"/>
      </w:tabs>
      <w:spacing w:before="360" w:after="120"/>
      <w:ind w:left="851"/>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numPr>
        <w:ilvl w:val="0"/>
        <w:numId w:val="0"/>
      </w:numPr>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numPr>
        <w:numId w:val="0"/>
      </w:numPr>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 w:type="character" w:styleId="FollowedHyperlink">
    <w:name w:val="FollowedHyperlink"/>
    <w:basedOn w:val="DefaultParagraphFont"/>
    <w:uiPriority w:val="99"/>
    <w:semiHidden/>
    <w:unhideWhenUsed/>
    <w:rsid w:val="00772013"/>
    <w:rPr>
      <w:color w:val="BF1B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nrolment.adoption@smartdcc.co.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consultations@smartdcc.co.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NDYQVYFD76VK-1947674797-390</_dlc_DocId>
    <_dlc_DocIdUrl xmlns="a506c0bb-1327-4a28-8c99-5f231145fa20">
      <Url>https://smartdcc.sharepoint.com/sites/DCCChargingReview/_layouts/15/DocIdRedir.aspx?ID=NDYQVYFD76VK-1947674797-390</Url>
      <Description>NDYQVYFD76VK-1947674797-390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a506c0bb-1327-4a28-8c99-5f231145fa20"/>
  </ds:schemaRefs>
</ds:datastoreItem>
</file>

<file path=customXml/itemProps2.xml><?xml version="1.0" encoding="utf-8"?>
<ds:datastoreItem xmlns:ds="http://schemas.openxmlformats.org/officeDocument/2006/customXml" ds:itemID="{486A5AB2-237B-408C-93B8-14B0179BEC9F}">
  <ds:schemaRefs>
    <ds:schemaRef ds:uri="http://schemas.microsoft.com/sharepoint/events"/>
  </ds:schemaRefs>
</ds:datastoreItem>
</file>

<file path=customXml/itemProps3.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4.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5.xml><?xml version="1.0" encoding="utf-8"?>
<ds:datastoreItem xmlns:ds="http://schemas.openxmlformats.org/officeDocument/2006/customXml" ds:itemID="{7256D05F-8204-4E70-8F40-18EF382F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742</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Haigh, Richard (Energy Security)</dc:creator>
  <cp:keywords/>
  <dc:description/>
  <cp:lastModifiedBy>Chiappi, Simone (Energy Security)</cp:lastModifiedBy>
  <cp:revision>7</cp:revision>
  <dcterms:created xsi:type="dcterms:W3CDTF">2025-01-30T11:01:00Z</dcterms:created>
  <dcterms:modified xsi:type="dcterms:W3CDTF">2025-02-03T16:42:00Z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8f52b956-cfa4-43f8-b4b2-d4be5d388953</vt:lpwstr>
  </property>
  <property fmtid="{D5CDD505-2E9C-101B-9397-08002B2CF9AE}" pid="19" name="MSIP_Label_ba62f585-b40f-4ab9-bafe-39150f03d124_Enabled">
    <vt:lpwstr>true</vt:lpwstr>
  </property>
  <property fmtid="{D5CDD505-2E9C-101B-9397-08002B2CF9AE}" pid="20" name="MSIP_Label_ba62f585-b40f-4ab9-bafe-39150f03d124_SetDate">
    <vt:lpwstr>2025-01-16T14:07:48Z</vt:lpwstr>
  </property>
  <property fmtid="{D5CDD505-2E9C-101B-9397-08002B2CF9AE}" pid="21" name="MSIP_Label_ba62f585-b40f-4ab9-bafe-39150f03d124_Method">
    <vt:lpwstr>Standard</vt:lpwstr>
  </property>
  <property fmtid="{D5CDD505-2E9C-101B-9397-08002B2CF9AE}" pid="22" name="MSIP_Label_ba62f585-b40f-4ab9-bafe-39150f03d124_Name">
    <vt:lpwstr>OFFICIAL</vt:lpwstr>
  </property>
  <property fmtid="{D5CDD505-2E9C-101B-9397-08002B2CF9AE}" pid="23" name="MSIP_Label_ba62f585-b40f-4ab9-bafe-39150f03d124_SiteId">
    <vt:lpwstr>cbac7005-02c1-43eb-b497-e6492d1b2dd8</vt:lpwstr>
  </property>
  <property fmtid="{D5CDD505-2E9C-101B-9397-08002B2CF9AE}" pid="24" name="MSIP_Label_ba62f585-b40f-4ab9-bafe-39150f03d124_ActionId">
    <vt:lpwstr>07a427e0-e4d2-4e1c-9f79-ffdafde45ddf</vt:lpwstr>
  </property>
  <property fmtid="{D5CDD505-2E9C-101B-9397-08002B2CF9AE}" pid="25" name="MSIP_Label_ba62f585-b40f-4ab9-bafe-39150f03d124_ContentBits">
    <vt:lpwstr>3</vt:lpwstr>
  </property>
  <property fmtid="{D5CDD505-2E9C-101B-9397-08002B2CF9AE}" pid="26" name="DCCDocumentStatus">
    <vt:lpwstr/>
  </property>
  <property fmtid="{D5CDD505-2E9C-101B-9397-08002B2CF9AE}" pid="27" name="SmartDCCDocumentType">
    <vt:lpwstr/>
  </property>
  <property fmtid="{D5CDD505-2E9C-101B-9397-08002B2CF9AE}" pid="28" name="SmartDCCSecurityClassification">
    <vt:lpwstr/>
  </property>
  <property fmtid="{D5CDD505-2E9C-101B-9397-08002B2CF9AE}" pid="29" name="DCCRelease">
    <vt:lpwstr/>
  </property>
  <property fmtid="{D5CDD505-2E9C-101B-9397-08002B2CF9AE}" pid="30" name="DCCDepartment">
    <vt:lpwstr/>
  </property>
</Properties>
</file>